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240"/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30"/>
          <w:szCs w:val="30"/>
        </w:rPr>
        <w:t>安全性数据报告管理规定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73"/>
        <w:gridCol w:w="1586"/>
        <w:gridCol w:w="1705"/>
        <w:gridCol w:w="5253"/>
        <w:gridCol w:w="25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  <w:jc w:val="center"/>
        </w:trPr>
        <w:tc>
          <w:tcPr>
            <w:tcW w:w="2473" w:type="dxa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安全性时间类型</w:t>
            </w:r>
          </w:p>
        </w:tc>
        <w:tc>
          <w:tcPr>
            <w:tcW w:w="1586" w:type="dxa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报告者</w:t>
            </w: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时限</w:t>
            </w:r>
          </w:p>
        </w:tc>
        <w:tc>
          <w:tcPr>
            <w:tcW w:w="5253" w:type="dxa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审查类型</w:t>
            </w:r>
          </w:p>
        </w:tc>
        <w:tc>
          <w:tcPr>
            <w:tcW w:w="2561" w:type="dxa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提交资料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6" w:hRule="atLeast"/>
          <w:jc w:val="center"/>
        </w:trPr>
        <w:tc>
          <w:tcPr>
            <w:tcW w:w="2473" w:type="dxa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本中心发生的严重不良事件（SAE）</w:t>
            </w:r>
          </w:p>
        </w:tc>
        <w:tc>
          <w:tcPr>
            <w:tcW w:w="1586" w:type="dxa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研究者</w:t>
            </w:r>
          </w:p>
        </w:tc>
        <w:tc>
          <w:tcPr>
            <w:tcW w:w="1705" w:type="dxa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获知SAE的24小时内</w:t>
            </w:r>
          </w:p>
        </w:tc>
        <w:tc>
          <w:tcPr>
            <w:tcW w:w="5253" w:type="dxa"/>
            <w:vAlign w:val="center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会议审查：</w:t>
            </w:r>
          </w:p>
          <w:p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研究者评估为SUSAR的SAE；</w:t>
            </w: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快速审查：</w:t>
            </w:r>
          </w:p>
          <w:p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预期的SAE；</w:t>
            </w:r>
          </w:p>
          <w:p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与药物临床试验干预无关的SAE。</w:t>
            </w:r>
          </w:p>
        </w:tc>
        <w:tc>
          <w:tcPr>
            <w:tcW w:w="2561" w:type="dxa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伦理递交信、SAE报告表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8" w:hRule="atLeast"/>
          <w:jc w:val="center"/>
        </w:trPr>
        <w:tc>
          <w:tcPr>
            <w:tcW w:w="2473" w:type="dxa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可疑且非预期严重不良反应（SUSAR）</w:t>
            </w:r>
          </w:p>
        </w:tc>
        <w:tc>
          <w:tcPr>
            <w:tcW w:w="1586" w:type="dxa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申办者</w:t>
            </w:r>
          </w:p>
        </w:tc>
        <w:tc>
          <w:tcPr>
            <w:tcW w:w="1705" w:type="dxa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获知、评估后及时</w:t>
            </w:r>
          </w:p>
        </w:tc>
        <w:tc>
          <w:tcPr>
            <w:tcW w:w="5253" w:type="dxa"/>
            <w:vAlign w:val="center"/>
          </w:tcPr>
          <w:p>
            <w:pPr>
              <w:numPr>
                <w:ilvl w:val="0"/>
                <w:numId w:val="3"/>
              </w:numPr>
              <w:rPr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对申办方报告的其他中心的S</w:t>
            </w:r>
            <w:r>
              <w:rPr>
                <w:color w:val="FF0000"/>
                <w:sz w:val="24"/>
                <w:szCs w:val="24"/>
              </w:rPr>
              <w:t>USAR</w:t>
            </w:r>
            <w:r>
              <w:rPr>
                <w:rFonts w:hint="eastAsia"/>
                <w:color w:val="FF0000"/>
                <w:sz w:val="24"/>
                <w:szCs w:val="24"/>
              </w:rPr>
              <w:t>进行接受，进行定期跟踪审查时同时进行</w:t>
            </w:r>
            <w:r>
              <w:rPr>
                <w:color w:val="FF0000"/>
                <w:sz w:val="24"/>
                <w:szCs w:val="24"/>
              </w:rPr>
              <w:t>SUSAR</w:t>
            </w:r>
            <w:r>
              <w:rPr>
                <w:rFonts w:hint="eastAsia"/>
                <w:color w:val="FF0000"/>
                <w:sz w:val="24"/>
                <w:szCs w:val="24"/>
              </w:rPr>
              <w:t>的审查或备案；</w:t>
            </w:r>
          </w:p>
          <w:p>
            <w:pPr>
              <w:numPr>
                <w:ilvl w:val="0"/>
                <w:numId w:val="3"/>
              </w:num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申办方报告的本中心发生的S</w:t>
            </w:r>
            <w:r>
              <w:rPr>
                <w:sz w:val="24"/>
                <w:szCs w:val="24"/>
              </w:rPr>
              <w:t>USAR</w:t>
            </w:r>
            <w:r>
              <w:rPr>
                <w:rFonts w:hint="eastAsia"/>
                <w:sz w:val="24"/>
                <w:szCs w:val="24"/>
              </w:rPr>
              <w:t>，如已按S</w:t>
            </w:r>
            <w:r>
              <w:rPr>
                <w:sz w:val="24"/>
                <w:szCs w:val="24"/>
              </w:rPr>
              <w:t>AE</w:t>
            </w:r>
            <w:r>
              <w:rPr>
                <w:rFonts w:hint="eastAsia"/>
                <w:sz w:val="24"/>
                <w:szCs w:val="24"/>
              </w:rPr>
              <w:t>进行了审查，则做备案处理，否则进行</w:t>
            </w:r>
            <w:r>
              <w:rPr>
                <w:rFonts w:hint="eastAsia"/>
                <w:b/>
                <w:bCs/>
                <w:sz w:val="24"/>
                <w:szCs w:val="24"/>
              </w:rPr>
              <w:t>会议审查。</w:t>
            </w:r>
          </w:p>
        </w:tc>
        <w:tc>
          <w:tcPr>
            <w:tcW w:w="2561" w:type="dxa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伦理递交信、SUSAR报告表（中文，申办方盖章）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  <w:jc w:val="center"/>
        </w:trPr>
        <w:tc>
          <w:tcPr>
            <w:tcW w:w="2473" w:type="dxa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研发期间的安全性更新报告（DSUR） </w:t>
            </w:r>
          </w:p>
        </w:tc>
        <w:tc>
          <w:tcPr>
            <w:tcW w:w="1586" w:type="dxa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申办者</w:t>
            </w:r>
          </w:p>
        </w:tc>
        <w:tc>
          <w:tcPr>
            <w:tcW w:w="1705" w:type="dxa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1次/年</w:t>
            </w:r>
          </w:p>
        </w:tc>
        <w:tc>
          <w:tcPr>
            <w:tcW w:w="5253" w:type="dxa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会议审查/快速审查</w:t>
            </w:r>
          </w:p>
        </w:tc>
        <w:tc>
          <w:tcPr>
            <w:tcW w:w="2561" w:type="dxa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伦理递交信、研发期间的安全性更新报告</w:t>
            </w:r>
          </w:p>
        </w:tc>
      </w:tr>
    </w:tbl>
    <w:p/>
    <w:sectPr>
      <w:headerReference r:id="rId3" w:type="default"/>
      <w:pgSz w:w="16838" w:h="11906" w:orient="landscape"/>
      <w:pgMar w:top="1800" w:right="1440" w:bottom="1286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sz w:val="21"/>
        <w:szCs w:val="21"/>
      </w:rPr>
    </w:pPr>
    <w:r>
      <w:rPr>
        <w:rFonts w:hint="eastAsia"/>
        <w:sz w:val="21"/>
        <w:szCs w:val="21"/>
      </w:rPr>
      <w:t>上饶市人民医院国家药物临床试验伦理委员会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3DCFC83"/>
    <w:multiLevelType w:val="singleLevel"/>
    <w:tmpl w:val="93DCFC83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4F04347D"/>
    <w:multiLevelType w:val="singleLevel"/>
    <w:tmpl w:val="4F04347D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5C3EFE32"/>
    <w:multiLevelType w:val="singleLevel"/>
    <w:tmpl w:val="5C3EFE32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6A0"/>
    <w:rsid w:val="005A1AFB"/>
    <w:rsid w:val="00E976A0"/>
    <w:rsid w:val="00EE2266"/>
    <w:rsid w:val="16B51BCC"/>
    <w:rsid w:val="3B8E3F34"/>
    <w:rsid w:val="3EDD6A01"/>
    <w:rsid w:val="43B2716F"/>
    <w:rsid w:val="49FD57BE"/>
    <w:rsid w:val="602D4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</Words>
  <Characters>303</Characters>
  <Lines>2</Lines>
  <Paragraphs>1</Paragraphs>
  <TotalTime>16</TotalTime>
  <ScaleCrop>false</ScaleCrop>
  <LinksUpToDate>false</LinksUpToDate>
  <CharactersWithSpaces>355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吉希娅</cp:lastModifiedBy>
  <dcterms:modified xsi:type="dcterms:W3CDTF">2021-08-04T08:10:41Z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2AAEC5A7C28046E5A340B828EFCB3F4F</vt:lpwstr>
  </property>
</Properties>
</file>